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183F3CB2" w:rsidR="00F64FFA" w:rsidRDefault="00F64FFA">
      <w:pPr>
        <w:pStyle w:val="Narrow"/>
      </w:pPr>
    </w:p>
    <w:p w14:paraId="44AF41DA" w14:textId="4D084038" w:rsidR="00F64FFA" w:rsidRDefault="009461EC" w:rsidP="009461EC">
      <w:pPr>
        <w:ind w:left="142"/>
        <w:rPr>
          <w:vertAlign w:val="superscript"/>
        </w:rPr>
      </w:pPr>
      <w:r>
        <w:rPr>
          <w:noProof/>
        </w:rPr>
        <mc:AlternateContent>
          <mc:Choice Requires="wps">
            <w:drawing>
              <wp:anchor distT="0" distB="0" distL="0" distR="0" simplePos="0" relativeHeight="251657728" behindDoc="1" locked="0" layoutInCell="1" allowOverlap="1" wp14:anchorId="3A4063EC" wp14:editId="2807C4A3">
                <wp:simplePos x="0" y="0"/>
                <wp:positionH relativeFrom="margin">
                  <wp:posOffset>-7976</wp:posOffset>
                </wp:positionH>
                <wp:positionV relativeFrom="paragraph">
                  <wp:posOffset>41097</wp:posOffset>
                </wp:positionV>
                <wp:extent cx="5808269" cy="601980"/>
                <wp:effectExtent l="0" t="0" r="21590" b="266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8269"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65pt;margin-top:3.25pt;width:457.35pt;height:47.4pt;z-index:-2516587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tc>
          <w:tcPr>
            <w:tcW w:w="3936" w:type="dxa"/>
            <w:shd w:val="clear" w:color="auto" w:fill="auto"/>
          </w:tcPr>
          <w:p w14:paraId="0E790796" w14:textId="77777777" w:rsidR="00F64FFA" w:rsidRDefault="0038696F">
            <w:pPr>
              <w:pStyle w:val="NoSpacing"/>
              <w:rPr>
                <w:b/>
              </w:rPr>
            </w:pPr>
            <w:r>
              <w:rPr>
                <w:b/>
              </w:rPr>
              <w:t>Date</w:t>
            </w:r>
          </w:p>
        </w:tc>
        <w:tc>
          <w:tcPr>
            <w:tcW w:w="5243" w:type="dxa"/>
            <w:shd w:val="clear" w:color="auto" w:fill="auto"/>
          </w:tcPr>
          <w:p w14:paraId="5424D01F" w14:textId="392BD5FB" w:rsidR="00F64FFA" w:rsidRDefault="00226297">
            <w:pPr>
              <w:pStyle w:val="NoSpacing"/>
            </w:pPr>
            <w:r>
              <w:t>14 February</w:t>
            </w:r>
            <w:r w:rsidR="009461EC">
              <w:t xml:space="preserve"> 2020</w:t>
            </w:r>
          </w:p>
        </w:tc>
      </w:tr>
      <w:tr w:rsidR="00F64FFA" w14:paraId="73DF0E42" w14:textId="77777777">
        <w:tc>
          <w:tcPr>
            <w:tcW w:w="3936" w:type="dxa"/>
            <w:shd w:val="clear" w:color="auto" w:fill="auto"/>
          </w:tcPr>
          <w:p w14:paraId="773EAFCE" w14:textId="77777777" w:rsidR="00F64FFA" w:rsidRDefault="0038696F">
            <w:pPr>
              <w:pStyle w:val="NoSpacing"/>
              <w:rPr>
                <w:b/>
              </w:rPr>
            </w:pPr>
            <w:r>
              <w:rPr>
                <w:b/>
              </w:rPr>
              <w:t>Issue Resolution Proposal</w:t>
            </w:r>
          </w:p>
        </w:tc>
        <w:tc>
          <w:tcPr>
            <w:tcW w:w="5243" w:type="dxa"/>
            <w:shd w:val="clear" w:color="auto" w:fill="auto"/>
          </w:tcPr>
          <w:p w14:paraId="3AEB6719" w14:textId="5762DF6A" w:rsidR="00F64FFA" w:rsidRDefault="0038696F">
            <w:pPr>
              <w:pStyle w:val="NoSpacing"/>
            </w:pPr>
            <w:r>
              <w:t>IRP</w:t>
            </w:r>
            <w:r w:rsidR="009461EC">
              <w:t>619</w:t>
            </w:r>
          </w:p>
        </w:tc>
      </w:tr>
      <w:tr w:rsidR="00F64FFA" w14:paraId="673FEB30" w14:textId="77777777">
        <w:tc>
          <w:tcPr>
            <w:tcW w:w="3936" w:type="dxa"/>
            <w:shd w:val="clear" w:color="auto" w:fill="auto"/>
          </w:tcPr>
          <w:p w14:paraId="4F32F48F" w14:textId="77777777" w:rsidR="00F64FFA" w:rsidRDefault="0038696F">
            <w:pPr>
              <w:pStyle w:val="NoSpacing"/>
              <w:rPr>
                <w:b/>
              </w:rPr>
            </w:pPr>
            <w:r>
              <w:rPr>
                <w:b/>
              </w:rPr>
              <w:t>Issues Log ID</w:t>
            </w:r>
          </w:p>
        </w:tc>
        <w:tc>
          <w:tcPr>
            <w:tcW w:w="5243" w:type="dxa"/>
            <w:shd w:val="clear" w:color="auto" w:fill="auto"/>
          </w:tcPr>
          <w:p w14:paraId="70DCF214" w14:textId="016329BB" w:rsidR="00F64FFA" w:rsidRDefault="0038696F">
            <w:pPr>
              <w:pStyle w:val="NoSpacing"/>
            </w:pPr>
            <w:r>
              <w:t>T</w:t>
            </w:r>
            <w:r w:rsidR="00B82D8D">
              <w:t>S</w:t>
            </w:r>
            <w:r w:rsidR="009461EC">
              <w:t>1242</w:t>
            </w:r>
          </w:p>
        </w:tc>
      </w:tr>
      <w:tr w:rsidR="00F64FFA" w14:paraId="7F229363" w14:textId="77777777">
        <w:tc>
          <w:tcPr>
            <w:tcW w:w="3936" w:type="dxa"/>
            <w:shd w:val="clear" w:color="auto" w:fill="auto"/>
          </w:tcPr>
          <w:p w14:paraId="1A2E8F72" w14:textId="77777777" w:rsidR="00F64FFA" w:rsidRDefault="0038696F">
            <w:pPr>
              <w:pStyle w:val="NoSpacing"/>
              <w:rPr>
                <w:b/>
              </w:rPr>
            </w:pPr>
            <w:r>
              <w:rPr>
                <w:b/>
              </w:rPr>
              <w:t>Issue Title</w:t>
            </w:r>
          </w:p>
        </w:tc>
        <w:tc>
          <w:tcPr>
            <w:tcW w:w="5243" w:type="dxa"/>
            <w:shd w:val="clear" w:color="auto" w:fill="auto"/>
          </w:tcPr>
          <w:p w14:paraId="0741B753" w14:textId="64E031F3" w:rsidR="00F64FFA" w:rsidRDefault="00B82D8D">
            <w:pPr>
              <w:pStyle w:val="NoSpacing"/>
            </w:pPr>
            <w:r w:rsidRPr="00B82D8D">
              <w:t xml:space="preserve">GBT blocks from old </w:t>
            </w:r>
            <w:r w:rsidR="009461EC">
              <w:t>M</w:t>
            </w:r>
            <w:r w:rsidRPr="00B82D8D">
              <w:t>essages</w:t>
            </w:r>
          </w:p>
        </w:tc>
      </w:tr>
      <w:tr w:rsidR="00F64FFA" w14:paraId="39C41E68" w14:textId="77777777">
        <w:tc>
          <w:tcPr>
            <w:tcW w:w="3936" w:type="dxa"/>
            <w:shd w:val="clear" w:color="auto" w:fill="auto"/>
          </w:tcPr>
          <w:p w14:paraId="6C7D2B8E" w14:textId="77777777" w:rsidR="00F64FFA" w:rsidRDefault="0038696F">
            <w:pPr>
              <w:pStyle w:val="NoSpacing"/>
              <w:rPr>
                <w:b/>
              </w:rPr>
            </w:pPr>
            <w:r>
              <w:rPr>
                <w:b/>
              </w:rPr>
              <w:t>Source</w:t>
            </w:r>
          </w:p>
        </w:tc>
        <w:tc>
          <w:tcPr>
            <w:tcW w:w="5243" w:type="dxa"/>
            <w:shd w:val="clear" w:color="auto" w:fill="auto"/>
          </w:tcPr>
          <w:p w14:paraId="18FCEAB0" w14:textId="64FFA53D" w:rsidR="00F64FFA" w:rsidRDefault="00B82D8D">
            <w:pPr>
              <w:pStyle w:val="NoSpacing"/>
            </w:pPr>
            <w:r>
              <w:t>BEIS</w:t>
            </w:r>
          </w:p>
        </w:tc>
      </w:tr>
      <w:tr w:rsidR="00F64FFA" w14:paraId="51E00F00" w14:textId="77777777">
        <w:tc>
          <w:tcPr>
            <w:tcW w:w="3936" w:type="dxa"/>
            <w:shd w:val="clear" w:color="auto" w:fill="auto"/>
          </w:tcPr>
          <w:p w14:paraId="33CF45A9" w14:textId="77777777" w:rsidR="00F64FFA" w:rsidRDefault="0038696F">
            <w:pPr>
              <w:pStyle w:val="NoSpacing"/>
              <w:rPr>
                <w:b/>
              </w:rPr>
            </w:pPr>
            <w:r>
              <w:rPr>
                <w:b/>
              </w:rPr>
              <w:t>Date Raised</w:t>
            </w:r>
          </w:p>
        </w:tc>
        <w:tc>
          <w:tcPr>
            <w:tcW w:w="5243" w:type="dxa"/>
            <w:shd w:val="clear" w:color="auto" w:fill="auto"/>
          </w:tcPr>
          <w:p w14:paraId="31B041FB" w14:textId="74D81DF9" w:rsidR="00F64FFA" w:rsidRDefault="009461EC">
            <w:pPr>
              <w:pStyle w:val="NoSpacing"/>
            </w:pPr>
            <w:r>
              <w:t>17 January 2020</w:t>
            </w:r>
          </w:p>
        </w:tc>
      </w:tr>
      <w:tr w:rsidR="00F64FFA" w14:paraId="6B2B5221" w14:textId="77777777">
        <w:trPr>
          <w:trHeight w:val="359"/>
        </w:trPr>
        <w:tc>
          <w:tcPr>
            <w:tcW w:w="3936" w:type="dxa"/>
            <w:shd w:val="clear" w:color="auto" w:fill="auto"/>
          </w:tcPr>
          <w:p w14:paraId="1BAC6485" w14:textId="77777777" w:rsidR="00F64FFA" w:rsidRDefault="0038696F">
            <w:pPr>
              <w:pStyle w:val="NoSpacing"/>
              <w:rPr>
                <w:b/>
              </w:rPr>
            </w:pPr>
            <w:r>
              <w:rPr>
                <w:b/>
              </w:rPr>
              <w:t>Status</w:t>
            </w:r>
          </w:p>
        </w:tc>
        <w:tc>
          <w:tcPr>
            <w:tcW w:w="5243" w:type="dxa"/>
            <w:shd w:val="clear" w:color="auto" w:fill="auto"/>
          </w:tcPr>
          <w:p w14:paraId="3F98FCE9" w14:textId="42D1CC1B" w:rsidR="00F64FFA" w:rsidRDefault="009461EC">
            <w:pPr>
              <w:pStyle w:val="NoSpacing"/>
            </w:pPr>
            <w:r>
              <w:t>Draft 0_1</w:t>
            </w:r>
          </w:p>
        </w:tc>
      </w:tr>
      <w:tr w:rsidR="00F64FFA" w14:paraId="33A9928F" w14:textId="77777777">
        <w:tc>
          <w:tcPr>
            <w:tcW w:w="3936" w:type="dxa"/>
            <w:shd w:val="clear" w:color="auto" w:fill="auto"/>
          </w:tcPr>
          <w:p w14:paraId="77FAB3DF" w14:textId="77777777" w:rsidR="00F64FFA" w:rsidRDefault="0038696F">
            <w:pPr>
              <w:pStyle w:val="NoSpacing"/>
              <w:rPr>
                <w:i/>
                <w:sz w:val="16"/>
                <w:szCs w:val="16"/>
              </w:rPr>
            </w:pPr>
            <w:r>
              <w:rPr>
                <w:b/>
              </w:rPr>
              <w:t>Documentation Reference</w:t>
            </w:r>
          </w:p>
        </w:tc>
        <w:tc>
          <w:tcPr>
            <w:tcW w:w="5243" w:type="dxa"/>
            <w:shd w:val="clear" w:color="auto" w:fill="auto"/>
          </w:tcPr>
          <w:p w14:paraId="67D363D3" w14:textId="77777777" w:rsidR="00F64FFA" w:rsidRDefault="0038696F">
            <w:pPr>
              <w:pStyle w:val="NoSpacing"/>
            </w:pPr>
            <w:r>
              <w:t>GBCS v3.2</w:t>
            </w:r>
          </w:p>
        </w:tc>
      </w:tr>
    </w:tbl>
    <w:p w14:paraId="0B6849ED" w14:textId="0130ED86" w:rsidR="00F64FFA" w:rsidRDefault="0038696F">
      <w:pPr>
        <w:tabs>
          <w:tab w:val="left" w:pos="2507"/>
        </w:tabs>
        <w:rPr>
          <w:b/>
          <w:sz w:val="24"/>
          <w:szCs w:val="24"/>
        </w:rPr>
      </w:pPr>
      <w:r>
        <w:rPr>
          <w:b/>
          <w:sz w:val="24"/>
          <w:szCs w:val="24"/>
        </w:rPr>
        <w:t>Description:</w:t>
      </w:r>
      <w:r>
        <w:rPr>
          <w:b/>
          <w:sz w:val="24"/>
          <w:szCs w:val="24"/>
        </w:rPr>
        <w:tab/>
      </w:r>
    </w:p>
    <w:p w14:paraId="01345AAA" w14:textId="31A4AF47" w:rsidR="00B82D8D" w:rsidRPr="003E502D" w:rsidRDefault="00B82D8D">
      <w:pPr>
        <w:rPr>
          <w:bCs/>
        </w:rPr>
      </w:pPr>
      <w:r w:rsidRPr="003E502D">
        <w:rPr>
          <w:bCs/>
        </w:rPr>
        <w:t xml:space="preserve">Due to WAN and / or HAN latency, it is possible that a Device receives a GBT Message (‘GBT block’) containing part of a Command, where the Device has already processed </w:t>
      </w:r>
      <w:r w:rsidR="006B0828">
        <w:rPr>
          <w:bCs/>
        </w:rPr>
        <w:t>that</w:t>
      </w:r>
      <w:r w:rsidRPr="003E502D">
        <w:rPr>
          <w:bCs/>
        </w:rPr>
        <w:t xml:space="preserve"> Command. </w:t>
      </w:r>
      <w:r w:rsidR="00DD644D">
        <w:rPr>
          <w:bCs/>
        </w:rPr>
        <w:t xml:space="preserve"> </w:t>
      </w:r>
      <w:r w:rsidRPr="003E502D">
        <w:rPr>
          <w:bCs/>
        </w:rPr>
        <w:t>For example</w:t>
      </w:r>
      <w:r w:rsidR="00DD644D">
        <w:rPr>
          <w:bCs/>
        </w:rPr>
        <w:t>, where</w:t>
      </w:r>
      <w:r w:rsidRPr="003E502D">
        <w:rPr>
          <w:bCs/>
        </w:rPr>
        <w:t>:</w:t>
      </w:r>
    </w:p>
    <w:p w14:paraId="69402463" w14:textId="37333484" w:rsidR="00B82D8D" w:rsidRPr="003E502D" w:rsidRDefault="00B82D8D" w:rsidP="00B82D8D">
      <w:pPr>
        <w:pStyle w:val="ListParagraph"/>
        <w:numPr>
          <w:ilvl w:val="0"/>
          <w:numId w:val="3"/>
        </w:numPr>
        <w:rPr>
          <w:bCs/>
        </w:rPr>
      </w:pPr>
      <w:r w:rsidRPr="003E502D">
        <w:rPr>
          <w:bCs/>
        </w:rPr>
        <w:t>The DSP sends both blocks in a two</w:t>
      </w:r>
      <w:r w:rsidR="00DD644D">
        <w:rPr>
          <w:bCs/>
        </w:rPr>
        <w:t>-</w:t>
      </w:r>
      <w:r w:rsidRPr="003E502D">
        <w:rPr>
          <w:bCs/>
        </w:rPr>
        <w:t xml:space="preserve">block command to an </w:t>
      </w:r>
      <w:proofErr w:type="gramStart"/>
      <w:r w:rsidRPr="003E502D">
        <w:rPr>
          <w:bCs/>
        </w:rPr>
        <w:t>ESME;</w:t>
      </w:r>
      <w:proofErr w:type="gramEnd"/>
    </w:p>
    <w:p w14:paraId="1DADE5C9" w14:textId="77777777" w:rsidR="00B82D8D" w:rsidRPr="003E502D" w:rsidRDefault="00B82D8D" w:rsidP="00B82D8D">
      <w:pPr>
        <w:pStyle w:val="ListParagraph"/>
        <w:numPr>
          <w:ilvl w:val="0"/>
          <w:numId w:val="3"/>
        </w:numPr>
        <w:rPr>
          <w:bCs/>
        </w:rPr>
      </w:pPr>
      <w:r w:rsidRPr="003E502D">
        <w:rPr>
          <w:bCs/>
        </w:rPr>
        <w:t xml:space="preserve">The ESME receives block 2 first, and, given it is the last block, asks the DSP to re-send block </w:t>
      </w:r>
      <w:proofErr w:type="gramStart"/>
      <w:r w:rsidRPr="003E502D">
        <w:rPr>
          <w:bCs/>
        </w:rPr>
        <w:t>1;</w:t>
      </w:r>
      <w:proofErr w:type="gramEnd"/>
    </w:p>
    <w:p w14:paraId="264F5B09" w14:textId="1B280213" w:rsidR="00B82D8D" w:rsidRPr="003E502D" w:rsidRDefault="00B82D8D" w:rsidP="00B82D8D">
      <w:pPr>
        <w:pStyle w:val="ListParagraph"/>
        <w:numPr>
          <w:ilvl w:val="0"/>
          <w:numId w:val="3"/>
        </w:numPr>
        <w:rPr>
          <w:bCs/>
        </w:rPr>
      </w:pPr>
      <w:r w:rsidRPr="003E502D">
        <w:rPr>
          <w:bCs/>
        </w:rPr>
        <w:t xml:space="preserve">The ESME receives the </w:t>
      </w:r>
      <w:r w:rsidR="00DD644D">
        <w:rPr>
          <w:bCs/>
        </w:rPr>
        <w:t>‘</w:t>
      </w:r>
      <w:r w:rsidRPr="003E502D">
        <w:rPr>
          <w:bCs/>
        </w:rPr>
        <w:t>original</w:t>
      </w:r>
      <w:r w:rsidR="006B0828">
        <w:rPr>
          <w:bCs/>
        </w:rPr>
        <w:t>ly</w:t>
      </w:r>
      <w:r w:rsidRPr="003E502D">
        <w:rPr>
          <w:bCs/>
        </w:rPr>
        <w:t xml:space="preserve"> sent block 1</w:t>
      </w:r>
      <w:r w:rsidR="00DD644D">
        <w:rPr>
          <w:bCs/>
        </w:rPr>
        <w:t>’</w:t>
      </w:r>
      <w:r w:rsidRPr="003E502D">
        <w:rPr>
          <w:bCs/>
        </w:rPr>
        <w:t xml:space="preserve">, so now has both blocks and successfully processes the Command, sending the resulting </w:t>
      </w:r>
      <w:proofErr w:type="gramStart"/>
      <w:r w:rsidRPr="003E502D">
        <w:rPr>
          <w:bCs/>
        </w:rPr>
        <w:t>Response</w:t>
      </w:r>
      <w:r w:rsidR="00DD644D">
        <w:rPr>
          <w:bCs/>
        </w:rPr>
        <w:t>;</w:t>
      </w:r>
      <w:proofErr w:type="gramEnd"/>
    </w:p>
    <w:p w14:paraId="46D485E8" w14:textId="53000CBC" w:rsidR="00B82D8D" w:rsidRPr="003E502D" w:rsidRDefault="00B82D8D" w:rsidP="00B82D8D">
      <w:pPr>
        <w:pStyle w:val="ListParagraph"/>
        <w:numPr>
          <w:ilvl w:val="0"/>
          <w:numId w:val="3"/>
        </w:numPr>
        <w:rPr>
          <w:bCs/>
        </w:rPr>
      </w:pPr>
      <w:r w:rsidRPr="003E502D">
        <w:rPr>
          <w:bCs/>
        </w:rPr>
        <w:t>The DSP gets the request to re-send block 1;</w:t>
      </w:r>
      <w:r w:rsidR="009461EC">
        <w:rPr>
          <w:bCs/>
        </w:rPr>
        <w:t xml:space="preserve"> and</w:t>
      </w:r>
    </w:p>
    <w:p w14:paraId="254C4A8C" w14:textId="000089C4" w:rsidR="00B82D8D" w:rsidRPr="003E502D" w:rsidRDefault="00B82D8D" w:rsidP="00B82D8D">
      <w:pPr>
        <w:pStyle w:val="ListParagraph"/>
        <w:numPr>
          <w:ilvl w:val="0"/>
          <w:numId w:val="3"/>
        </w:numPr>
        <w:rPr>
          <w:bCs/>
        </w:rPr>
      </w:pPr>
      <w:r w:rsidRPr="003E502D">
        <w:rPr>
          <w:bCs/>
        </w:rPr>
        <w:t xml:space="preserve">The ESME receives the </w:t>
      </w:r>
      <w:r w:rsidR="00DD644D">
        <w:rPr>
          <w:bCs/>
        </w:rPr>
        <w:t>‘</w:t>
      </w:r>
      <w:r w:rsidRPr="003E502D">
        <w:rPr>
          <w:bCs/>
        </w:rPr>
        <w:t>re-sent block 1</w:t>
      </w:r>
      <w:r w:rsidR="00DD644D">
        <w:rPr>
          <w:bCs/>
        </w:rPr>
        <w:t>’</w:t>
      </w:r>
      <w:r w:rsidRPr="003E502D">
        <w:rPr>
          <w:bCs/>
        </w:rPr>
        <w:t>.</w:t>
      </w:r>
    </w:p>
    <w:p w14:paraId="704E4C0C" w14:textId="15C9F1C1" w:rsidR="00F64FFA" w:rsidRPr="003E502D" w:rsidRDefault="00B82D8D" w:rsidP="00B82D8D">
      <w:pPr>
        <w:rPr>
          <w:bCs/>
        </w:rPr>
      </w:pPr>
      <w:r w:rsidRPr="003E502D">
        <w:rPr>
          <w:bCs/>
        </w:rPr>
        <w:t xml:space="preserve">Can the ESME </w:t>
      </w:r>
      <w:r w:rsidR="008966BF" w:rsidRPr="003E502D">
        <w:rPr>
          <w:bCs/>
        </w:rPr>
        <w:t xml:space="preserve">immediately </w:t>
      </w:r>
      <w:r w:rsidRPr="003E502D">
        <w:rPr>
          <w:bCs/>
        </w:rPr>
        <w:t>discard block 1, on the basis th</w:t>
      </w:r>
      <w:r w:rsidR="008966BF" w:rsidRPr="003E502D">
        <w:rPr>
          <w:bCs/>
        </w:rPr>
        <w:t>at the Message Routing Header information (which is not part of the Remote Party Command carried in the payload</w:t>
      </w:r>
      <w:r w:rsidR="00DD644D">
        <w:rPr>
          <w:bCs/>
        </w:rPr>
        <w:t>’</w:t>
      </w:r>
      <w:r w:rsidR="008966BF" w:rsidRPr="003E502D">
        <w:rPr>
          <w:bCs/>
        </w:rPr>
        <w:t>s of such messages) means the ESME knows it has already</w:t>
      </w:r>
      <w:r w:rsidRPr="003E502D">
        <w:rPr>
          <w:bCs/>
        </w:rPr>
        <w:t xml:space="preserve"> </w:t>
      </w:r>
      <w:r w:rsidR="008966BF" w:rsidRPr="003E502D">
        <w:rPr>
          <w:bCs/>
        </w:rPr>
        <w:t>processed this Command and so will not do so again?</w:t>
      </w:r>
    </w:p>
    <w:p w14:paraId="011BE5A1" w14:textId="0DDC2E8A" w:rsidR="008966BF" w:rsidRPr="003E502D" w:rsidRDefault="008966BF" w:rsidP="00B82D8D">
      <w:pPr>
        <w:rPr>
          <w:bCs/>
        </w:rPr>
      </w:pPr>
      <w:r w:rsidRPr="003E502D">
        <w:rPr>
          <w:bCs/>
        </w:rPr>
        <w:t>Alternatively, does the ESME have to request that block 2 is resent (knowing that the DSP will not be able to send it, since the Command has finished processing) then wait 30 minutes and discard block 1 (so blocking the ESME’s in bound GBT buffer for that period)?</w:t>
      </w:r>
    </w:p>
    <w:p w14:paraId="576361CD" w14:textId="77777777" w:rsidR="00F1218C" w:rsidRPr="00B82D8D" w:rsidRDefault="00F1218C" w:rsidP="00B82D8D">
      <w:pPr>
        <w:rPr>
          <w:bCs/>
          <w:sz w:val="24"/>
          <w:szCs w:val="24"/>
        </w:rPr>
      </w:pPr>
    </w:p>
    <w:p w14:paraId="06C863B2" w14:textId="77777777" w:rsidR="00F64FFA" w:rsidRDefault="0038696F">
      <w:pPr>
        <w:rPr>
          <w:b/>
          <w:sz w:val="24"/>
          <w:szCs w:val="24"/>
        </w:rPr>
      </w:pPr>
      <w:r>
        <w:rPr>
          <w:b/>
          <w:sz w:val="24"/>
          <w:szCs w:val="24"/>
        </w:rPr>
        <w:t>Proposed Position:</w:t>
      </w:r>
    </w:p>
    <w:p w14:paraId="1FE61CB2" w14:textId="77777777" w:rsidR="008615AD" w:rsidRDefault="009D0B45">
      <w:r>
        <w:t>In summary</w:t>
      </w:r>
      <w:r w:rsidR="008615AD">
        <w:t>:</w:t>
      </w:r>
    </w:p>
    <w:p w14:paraId="6D034FA1" w14:textId="5076723D" w:rsidR="009D0B45" w:rsidRDefault="008615AD">
      <w:pPr>
        <w:rPr>
          <w:bCs/>
        </w:rPr>
      </w:pPr>
      <w:r>
        <w:t>T</w:t>
      </w:r>
      <w:r w:rsidR="009D0B45">
        <w:t>he Device can discard block 1 immediately</w:t>
      </w:r>
      <w:r w:rsidR="006B0828">
        <w:t>,</w:t>
      </w:r>
      <w:r w:rsidR="009D0B45">
        <w:t xml:space="preserve"> based on processing the </w:t>
      </w:r>
      <w:r w:rsidR="009D0B45" w:rsidRPr="003E502D">
        <w:rPr>
          <w:bCs/>
        </w:rPr>
        <w:t>Message Routing Header information</w:t>
      </w:r>
      <w:r w:rsidR="009D0B45">
        <w:rPr>
          <w:bCs/>
        </w:rPr>
        <w:t xml:space="preserve">. </w:t>
      </w:r>
      <w:r w:rsidR="00DD644D">
        <w:rPr>
          <w:bCs/>
        </w:rPr>
        <w:t xml:space="preserve"> </w:t>
      </w:r>
      <w:r w:rsidR="009D0B45">
        <w:rPr>
          <w:bCs/>
        </w:rPr>
        <w:t xml:space="preserve">The proposed position is to add </w:t>
      </w:r>
      <w:r w:rsidR="00DD644D">
        <w:rPr>
          <w:bCs/>
        </w:rPr>
        <w:t xml:space="preserve">some </w:t>
      </w:r>
      <w:r w:rsidR="009D0B45">
        <w:rPr>
          <w:bCs/>
        </w:rPr>
        <w:t xml:space="preserve">clarifying </w:t>
      </w:r>
      <w:r w:rsidR="00DD644D">
        <w:rPr>
          <w:bCs/>
        </w:rPr>
        <w:t xml:space="preserve">text to </w:t>
      </w:r>
      <w:r w:rsidR="009D0B45">
        <w:rPr>
          <w:bCs/>
        </w:rPr>
        <w:t>GBCS</w:t>
      </w:r>
      <w:r w:rsidR="00847BE8">
        <w:rPr>
          <w:bCs/>
        </w:rPr>
        <w:t>,</w:t>
      </w:r>
      <w:r w:rsidR="009D0B45">
        <w:rPr>
          <w:bCs/>
        </w:rPr>
        <w:t xml:space="preserve"> which makes this explicit.</w:t>
      </w:r>
    </w:p>
    <w:p w14:paraId="166C10AC" w14:textId="77777777" w:rsidR="00847BE8" w:rsidRPr="008615AD" w:rsidRDefault="00847BE8" w:rsidP="00847BE8">
      <w:pPr>
        <w:rPr>
          <w:bCs/>
        </w:rPr>
      </w:pPr>
      <w:r w:rsidRPr="008615AD">
        <w:rPr>
          <w:bCs/>
        </w:rPr>
        <w:t>To explain:</w:t>
      </w:r>
    </w:p>
    <w:p w14:paraId="430CCDF4" w14:textId="65185E14" w:rsidR="006B0828" w:rsidRDefault="00847BE8">
      <w:pPr>
        <w:rPr>
          <w:bCs/>
        </w:rPr>
      </w:pPr>
      <w:r>
        <w:rPr>
          <w:bCs/>
        </w:rPr>
        <w:t xml:space="preserve">By way of context, all Remote Party Commands, that can be large enough to require delivery using GBT, are required by GBCS to have Protection Against Replay. </w:t>
      </w:r>
      <w:r w:rsidR="008615AD">
        <w:rPr>
          <w:bCs/>
        </w:rPr>
        <w:t xml:space="preserve"> </w:t>
      </w:r>
      <w:r>
        <w:rPr>
          <w:bCs/>
        </w:rPr>
        <w:t xml:space="preserve">This means that, as per GBCS 6.2.4.2, the corresponding Execution Counter is updated by the Device, to the Originator Counter in the Command, at the point the Device has authenticated the Command </w:t>
      </w:r>
      <w:r>
        <w:rPr>
          <w:bCs/>
        </w:rPr>
        <w:lastRenderedPageBreak/>
        <w:t xml:space="preserve">(so before its sends any Response, and before it receives the re-sent block 1 </w:t>
      </w:r>
      <w:r w:rsidR="008615AD">
        <w:rPr>
          <w:bCs/>
        </w:rPr>
        <w:t xml:space="preserve">as </w:t>
      </w:r>
      <w:r>
        <w:rPr>
          <w:bCs/>
        </w:rPr>
        <w:t>in the example</w:t>
      </w:r>
      <w:r w:rsidR="008615AD">
        <w:rPr>
          <w:bCs/>
        </w:rPr>
        <w:t xml:space="preserve"> used above</w:t>
      </w:r>
      <w:r>
        <w:rPr>
          <w:bCs/>
        </w:rPr>
        <w:t xml:space="preserve">). </w:t>
      </w:r>
    </w:p>
    <w:p w14:paraId="5ACEAB80" w14:textId="107530F1" w:rsidR="00847BE8" w:rsidRDefault="00847BE8">
      <w:r>
        <w:rPr>
          <w:bCs/>
        </w:rPr>
        <w:t>In the example</w:t>
      </w:r>
      <w:r w:rsidR="008615AD">
        <w:rPr>
          <w:bCs/>
        </w:rPr>
        <w:t>,</w:t>
      </w:r>
      <w:r>
        <w:rPr>
          <w:bCs/>
        </w:rPr>
        <w:t xml:space="preserve"> this means that the re-sent block 1 will have an Originator Counter, which is part of the </w:t>
      </w:r>
      <w:r w:rsidRPr="003E502D">
        <w:rPr>
          <w:bCs/>
        </w:rPr>
        <w:t>Message Routing Header information</w:t>
      </w:r>
      <w:r>
        <w:rPr>
          <w:bCs/>
        </w:rPr>
        <w:t xml:space="preserve">, equal to the Device’s corresponding Execution Counter. </w:t>
      </w:r>
      <w:r w:rsidR="008615AD">
        <w:rPr>
          <w:bCs/>
        </w:rPr>
        <w:t xml:space="preserve"> </w:t>
      </w:r>
      <w:r>
        <w:rPr>
          <w:bCs/>
        </w:rPr>
        <w:t>Therefore, the Device knows</w:t>
      </w:r>
      <w:r w:rsidR="006B0828">
        <w:rPr>
          <w:bCs/>
        </w:rPr>
        <w:t>, when it gets the</w:t>
      </w:r>
      <w:r w:rsidR="006B0828" w:rsidRPr="006B0828">
        <w:rPr>
          <w:bCs/>
        </w:rPr>
        <w:t xml:space="preserve"> </w:t>
      </w:r>
      <w:r w:rsidR="006B0828">
        <w:rPr>
          <w:bCs/>
        </w:rPr>
        <w:t>re-sent block 1,</w:t>
      </w:r>
      <w:r>
        <w:rPr>
          <w:bCs/>
        </w:rPr>
        <w:t xml:space="preserve"> it has already received (and successfully authenticated) all blocks needed for this Command, so all GBT Messages in this GBT Message Series.</w:t>
      </w:r>
    </w:p>
    <w:p w14:paraId="6B9DF83C" w14:textId="0F6CC503" w:rsidR="003E502D" w:rsidRDefault="003E502D">
      <w:r>
        <w:t>As per GBCS 7.2.11.3, a GBT Message carrying part of a Remote Party Command to a Device is the concatenation:</w:t>
      </w:r>
    </w:p>
    <w:p w14:paraId="70E5E668" w14:textId="77777777" w:rsidR="003E502D" w:rsidRPr="00D8534E" w:rsidRDefault="003E502D" w:rsidP="003E502D">
      <w:pPr>
        <w:pStyle w:val="Inset"/>
      </w:pPr>
      <w:r w:rsidRPr="00D8534E">
        <w:t>Message Routing Header || GBT Header || GBT Block Data</w:t>
      </w:r>
    </w:p>
    <w:p w14:paraId="110B1308" w14:textId="36A65269" w:rsidR="003E502D" w:rsidRDefault="003E502D">
      <w:r>
        <w:t>As per GBCS 7.2.11.4, GBT Block Data is the part containing ‘</w:t>
      </w:r>
      <w:r w:rsidR="00005C7C" w:rsidRPr="009D0B45">
        <w:rPr>
          <w:i/>
          <w:iCs/>
        </w:rPr>
        <w:t>octets of the Remote Party Message</w:t>
      </w:r>
      <w:r w:rsidR="00005C7C">
        <w:t xml:space="preserve">’. </w:t>
      </w:r>
    </w:p>
    <w:p w14:paraId="5BBC7B90" w14:textId="77777777" w:rsidR="006B0828" w:rsidRDefault="00005C7C" w:rsidP="008615AD">
      <w:r>
        <w:t>GBCS 7.2.11.4 states that ‘</w:t>
      </w:r>
      <w:r w:rsidRPr="009D0B45">
        <w:rPr>
          <w:i/>
          <w:iCs/>
        </w:rPr>
        <w:t xml:space="preserve">The GBT Recipient shall </w:t>
      </w:r>
      <w:r w:rsidRPr="00847BE8">
        <w:rPr>
          <w:b/>
          <w:bCs/>
          <w:i/>
          <w:iCs/>
          <w:u w:val="single"/>
        </w:rPr>
        <w:t>not</w:t>
      </w:r>
      <w:r w:rsidRPr="009D0B45">
        <w:rPr>
          <w:i/>
          <w:iCs/>
        </w:rPr>
        <w:t xml:space="preserve"> undertake any processing, in the sense of Section </w:t>
      </w:r>
      <w:r w:rsidRPr="009D0B45">
        <w:rPr>
          <w:i/>
          <w:iCs/>
        </w:rPr>
        <w:fldChar w:fldCharType="begin"/>
      </w:r>
      <w:r w:rsidRPr="009D0B45">
        <w:rPr>
          <w:i/>
          <w:iCs/>
        </w:rPr>
        <w:instrText xml:space="preserve"> REF _Ref378085781 \r \h </w:instrText>
      </w:r>
      <w:r w:rsidR="009D0B45">
        <w:rPr>
          <w:i/>
          <w:iCs/>
        </w:rPr>
        <w:instrText xml:space="preserve"> \* MERGEFORMAT </w:instrText>
      </w:r>
      <w:r w:rsidRPr="009D0B45">
        <w:rPr>
          <w:i/>
          <w:iCs/>
        </w:rPr>
      </w:r>
      <w:r w:rsidRPr="009D0B45">
        <w:rPr>
          <w:i/>
          <w:iCs/>
        </w:rPr>
        <w:fldChar w:fldCharType="separate"/>
      </w:r>
      <w:r w:rsidRPr="009D0B45">
        <w:rPr>
          <w:i/>
          <w:iCs/>
        </w:rPr>
        <w:t>6</w:t>
      </w:r>
      <w:r w:rsidRPr="009D0B45">
        <w:rPr>
          <w:i/>
          <w:iCs/>
        </w:rPr>
        <w:fldChar w:fldCharType="end"/>
      </w:r>
      <w:r w:rsidRPr="009D0B45">
        <w:rPr>
          <w:i/>
          <w:iCs/>
        </w:rPr>
        <w:t xml:space="preserve">, of the </w:t>
      </w:r>
      <w:r w:rsidRPr="00847BE8">
        <w:rPr>
          <w:b/>
          <w:bCs/>
          <w:i/>
          <w:iCs/>
          <w:u w:val="single"/>
        </w:rPr>
        <w:t>Remote Party Message carried in a GBT Message</w:t>
      </w:r>
      <w:r w:rsidRPr="009D0B45">
        <w:rPr>
          <w:i/>
          <w:iCs/>
        </w:rPr>
        <w:t xml:space="preserve"> Series until it has received… all GBT Messages in this GBT Message Series</w:t>
      </w:r>
      <w:r>
        <w:t>’</w:t>
      </w:r>
      <w:r w:rsidRPr="008615AD">
        <w:t xml:space="preserve">. </w:t>
      </w:r>
    </w:p>
    <w:p w14:paraId="25B469E0" w14:textId="1CD327BA" w:rsidR="00005C7C" w:rsidRDefault="008615AD" w:rsidP="00005C7C">
      <w:proofErr w:type="gramStart"/>
      <w:r>
        <w:t>So</w:t>
      </w:r>
      <w:proofErr w:type="gramEnd"/>
      <w:r>
        <w:t xml:space="preserve"> t</w:t>
      </w:r>
      <w:r w:rsidR="00005C7C">
        <w:t>here is a</w:t>
      </w:r>
      <w:r w:rsidR="009D0B45">
        <w:t xml:space="preserve">n explicit </w:t>
      </w:r>
      <w:r w:rsidR="00005C7C">
        <w:t>prohibition on processing GBT Block Data until all blocks have been received.</w:t>
      </w:r>
    </w:p>
    <w:p w14:paraId="1126CFC5" w14:textId="6BA7CF0D" w:rsidR="00005C7C" w:rsidRDefault="00005C7C" w:rsidP="00005C7C">
      <w:r>
        <w:t xml:space="preserve">However, there is no GBCS restriction on processing the </w:t>
      </w:r>
      <w:r w:rsidRPr="00D8534E">
        <w:t xml:space="preserve">Message Routing Header </w:t>
      </w:r>
      <w:r>
        <w:t>or</w:t>
      </w:r>
      <w:r w:rsidRPr="00D8534E">
        <w:t xml:space="preserve"> GBT Header</w:t>
      </w:r>
      <w:r>
        <w:t xml:space="preserve">. </w:t>
      </w:r>
      <w:r w:rsidR="008615AD">
        <w:t xml:space="preserve"> </w:t>
      </w:r>
      <w:r>
        <w:t xml:space="preserve">Indeed, such </w:t>
      </w:r>
      <w:r w:rsidR="00847BE8">
        <w:t xml:space="preserve">Device </w:t>
      </w:r>
      <w:r>
        <w:t>processing is required on receipt of each GBT Message, so that the requirements of GBCS 7.2.11.4 can be met.</w:t>
      </w:r>
    </w:p>
    <w:p w14:paraId="128980A5" w14:textId="6BCF64E8" w:rsidR="00005C7C" w:rsidRDefault="00005C7C" w:rsidP="00005C7C">
      <w:r>
        <w:t>There is a requirement in GBCS 7.2.11.4 for the Device to request block</w:t>
      </w:r>
      <w:r w:rsidR="009D0B45">
        <w:t>s</w:t>
      </w:r>
      <w:r>
        <w:t xml:space="preserve"> are resent where it has not received all blocks in that GBCS Message </w:t>
      </w:r>
      <w:proofErr w:type="gramStart"/>
      <w:r>
        <w:t>Series</w:t>
      </w:r>
      <w:r w:rsidR="008615AD">
        <w:t>,  as</w:t>
      </w:r>
      <w:proofErr w:type="gramEnd"/>
      <w:r w:rsidR="008615AD">
        <w:t xml:space="preserve"> follows</w:t>
      </w:r>
      <w:r>
        <w:t>:</w:t>
      </w:r>
    </w:p>
    <w:p w14:paraId="42783BBC" w14:textId="0E5F0B4D" w:rsidR="00005C7C" w:rsidRPr="009D0B45" w:rsidRDefault="00005C7C" w:rsidP="008615AD">
      <w:pPr>
        <w:pStyle w:val="ListParagraph"/>
        <w:ind w:left="327"/>
        <w:rPr>
          <w:i/>
          <w:iCs/>
        </w:rPr>
      </w:pPr>
      <w:r w:rsidRPr="009D0B45">
        <w:rPr>
          <w:i/>
          <w:iCs/>
        </w:rPr>
        <w:t>‘Where the GBT Recipient has not received all such GBT Messages, it shall send a</w:t>
      </w:r>
      <w:r w:rsidRPr="00423C4C">
        <w:rPr>
          <w:i/>
          <w:iCs/>
        </w:rPr>
        <w:t xml:space="preserve"> GBT Message (Request Block Resend) for each missing block-number.</w:t>
      </w:r>
      <w:r w:rsidR="00423C4C" w:rsidRPr="00423C4C">
        <w:rPr>
          <w:i/>
          <w:iCs/>
        </w:rPr>
        <w:t xml:space="preserve"> </w:t>
      </w:r>
      <w:r w:rsidR="008615AD">
        <w:rPr>
          <w:i/>
          <w:iCs/>
        </w:rPr>
        <w:t xml:space="preserve"> </w:t>
      </w:r>
      <w:r w:rsidR="00423C4C" w:rsidRPr="00423C4C">
        <w:rPr>
          <w:i/>
          <w:iCs/>
        </w:rPr>
        <w:t>Where the GBT Recipient is a Device, it may discard all blocks in a GBT Message Series if it has received no response to a GBT Message (Request Block Resend) after 60 minutes</w:t>
      </w:r>
      <w:r w:rsidRPr="009D0B45">
        <w:rPr>
          <w:i/>
          <w:iCs/>
        </w:rPr>
        <w:t>’</w:t>
      </w:r>
      <w:r w:rsidR="00423C4C">
        <w:rPr>
          <w:rStyle w:val="FootnoteReference"/>
          <w:i/>
          <w:iCs/>
        </w:rPr>
        <w:footnoteReference w:id="1"/>
      </w:r>
    </w:p>
    <w:p w14:paraId="36EB2E09" w14:textId="706C3B6C" w:rsidR="00005C7C" w:rsidRDefault="00005C7C" w:rsidP="00005C7C">
      <w:r>
        <w:t xml:space="preserve">However, in the example </w:t>
      </w:r>
      <w:r w:rsidR="008615AD">
        <w:t>used above</w:t>
      </w:r>
      <w:r>
        <w:t xml:space="preserve">, the </w:t>
      </w:r>
      <w:r w:rsidRPr="00D8534E">
        <w:t>Message Routing Header</w:t>
      </w:r>
      <w:r>
        <w:t xml:space="preserve"> information means the Device knows, when it gets the resent block 1, that it has already received both blocks in this GBT Message Series. </w:t>
      </w:r>
      <w:r w:rsidR="008615AD">
        <w:t xml:space="preserve"> Therefore, there</w:t>
      </w:r>
      <w:r>
        <w:t xml:space="preserve"> is no requirements for the Device to request that block 2 is resent</w:t>
      </w:r>
      <w:r w:rsidR="00423C4C">
        <w:t xml:space="preserve"> and so the 60</w:t>
      </w:r>
      <w:r w:rsidR="008615AD">
        <w:t>-</w:t>
      </w:r>
      <w:r w:rsidR="00423C4C">
        <w:t>minute timeout does not apply</w:t>
      </w:r>
      <w:r>
        <w:t>.</w:t>
      </w:r>
    </w:p>
    <w:p w14:paraId="4632BE19" w14:textId="6DAA5863" w:rsidR="009D0B45" w:rsidRDefault="008615AD" w:rsidP="00005C7C">
      <w:r>
        <w:t>So</w:t>
      </w:r>
      <w:r w:rsidR="009D0B45">
        <w:t xml:space="preserve">, the Device can process the </w:t>
      </w:r>
      <w:r w:rsidR="009D0B45" w:rsidRPr="00D8534E">
        <w:t>Message Routing Header</w:t>
      </w:r>
      <w:r w:rsidR="009D0B45">
        <w:t xml:space="preserve"> to establish that a newly arrived block</w:t>
      </w:r>
      <w:r w:rsidR="00847BE8">
        <w:t xml:space="preserve"> is part of a</w:t>
      </w:r>
      <w:r w:rsidR="009D0B45">
        <w:t xml:space="preserve"> GBT Message Series </w:t>
      </w:r>
      <w:r w:rsidR="00847BE8">
        <w:t xml:space="preserve">it has already processed. </w:t>
      </w:r>
      <w:r>
        <w:t xml:space="preserve"> T</w:t>
      </w:r>
      <w:r w:rsidR="00847BE8">
        <w:t>he Device knows that it</w:t>
      </w:r>
      <w:r w:rsidR="009D0B45">
        <w:t xml:space="preserve"> does not need to request other (already received) blocks</w:t>
      </w:r>
      <w:r w:rsidR="00847BE8">
        <w:t xml:space="preserve"> from that Series</w:t>
      </w:r>
      <w:r w:rsidR="009D0B45">
        <w:t xml:space="preserve">. </w:t>
      </w:r>
    </w:p>
    <w:p w14:paraId="4A3B60A7" w14:textId="1BBF388A" w:rsidR="009D0B45" w:rsidRDefault="009D0B45" w:rsidP="00005C7C">
      <w:r>
        <w:t>GBCS is silent on when such blocks can be discarded and so</w:t>
      </w:r>
      <w:r w:rsidR="008615AD">
        <w:t>,</w:t>
      </w:r>
      <w:r>
        <w:t xml:space="preserve"> discarding immediately would be permissible.</w:t>
      </w:r>
    </w:p>
    <w:p w14:paraId="1FC024B5" w14:textId="7A42521A" w:rsidR="009D0B45" w:rsidRDefault="009D0B45" w:rsidP="00005C7C">
      <w:r>
        <w:t xml:space="preserve">To make this clearer, the proposed position is to add text to </w:t>
      </w:r>
      <w:r w:rsidR="00043C4D">
        <w:t>the effect</w:t>
      </w:r>
      <w:r>
        <w:t xml:space="preserve"> that Devices may discard blocks immediately in this circumstance.</w:t>
      </w:r>
    </w:p>
    <w:p w14:paraId="249C817C" w14:textId="77777777" w:rsidR="00F1218C" w:rsidRDefault="00F1218C"/>
    <w:p w14:paraId="4FA9F35C" w14:textId="77777777" w:rsidR="00F64FFA" w:rsidRDefault="0038696F">
      <w:pPr>
        <w:rPr>
          <w:b/>
          <w:sz w:val="24"/>
          <w:szCs w:val="24"/>
        </w:rPr>
      </w:pPr>
      <w:r>
        <w:rPr>
          <w:b/>
          <w:sz w:val="24"/>
          <w:szCs w:val="24"/>
        </w:rPr>
        <w:t xml:space="preserve">Interoperability and / or Compatibility </w:t>
      </w:r>
    </w:p>
    <w:p w14:paraId="179E05CA" w14:textId="7A3DEC9C" w:rsidR="003E502D" w:rsidRDefault="00AB634D">
      <w:pPr>
        <w:rPr>
          <w:rFonts w:eastAsia="Times New Roman" w:cs="Arial"/>
          <w:color w:val="000000"/>
          <w:szCs w:val="24"/>
          <w:lang w:eastAsia="en-GB"/>
        </w:rPr>
      </w:pPr>
      <w:r>
        <w:rPr>
          <w:rFonts w:eastAsia="Times New Roman" w:cs="Arial"/>
          <w:color w:val="000000"/>
          <w:szCs w:val="24"/>
          <w:lang w:eastAsia="en-GB"/>
        </w:rPr>
        <w:t xml:space="preserve">This </w:t>
      </w:r>
      <w:r w:rsidR="00F1218C">
        <w:rPr>
          <w:rFonts w:eastAsia="Times New Roman" w:cs="Arial"/>
          <w:color w:val="000000"/>
          <w:szCs w:val="24"/>
          <w:lang w:eastAsia="en-GB"/>
        </w:rPr>
        <w:t>resolution</w:t>
      </w:r>
      <w:r>
        <w:rPr>
          <w:rFonts w:eastAsia="Times New Roman" w:cs="Arial"/>
          <w:color w:val="000000"/>
          <w:szCs w:val="24"/>
          <w:lang w:eastAsia="en-GB"/>
        </w:rPr>
        <w:t xml:space="preserve"> </w:t>
      </w:r>
      <w:r w:rsidR="003E502D">
        <w:rPr>
          <w:rFonts w:eastAsia="Times New Roman" w:cs="Arial"/>
          <w:color w:val="000000"/>
          <w:szCs w:val="24"/>
          <w:lang w:eastAsia="en-GB"/>
        </w:rPr>
        <w:t>is permissive, in terms of allowing Devices to change their internal processing.</w:t>
      </w:r>
      <w:r w:rsidR="00F1218C">
        <w:rPr>
          <w:rFonts w:eastAsia="Times New Roman" w:cs="Arial"/>
          <w:color w:val="000000"/>
          <w:szCs w:val="24"/>
          <w:lang w:eastAsia="en-GB"/>
        </w:rPr>
        <w:t xml:space="preserve"> </w:t>
      </w:r>
      <w:r w:rsidR="003E502D">
        <w:rPr>
          <w:rFonts w:eastAsia="Times New Roman" w:cs="Arial"/>
          <w:color w:val="000000"/>
          <w:szCs w:val="24"/>
          <w:lang w:eastAsia="en-GB"/>
        </w:rPr>
        <w:t xml:space="preserve"> It does not require Devices to change processing.</w:t>
      </w:r>
    </w:p>
    <w:p w14:paraId="6BE42B2A" w14:textId="6D693098" w:rsidR="003E502D" w:rsidRDefault="003E502D">
      <w:pPr>
        <w:rPr>
          <w:rFonts w:eastAsia="Times New Roman" w:cs="Arial"/>
          <w:color w:val="000000"/>
          <w:szCs w:val="24"/>
          <w:lang w:eastAsia="en-GB"/>
        </w:rPr>
      </w:pPr>
      <w:r>
        <w:rPr>
          <w:rFonts w:eastAsia="Times New Roman" w:cs="Arial"/>
          <w:color w:val="000000"/>
          <w:szCs w:val="24"/>
          <w:lang w:eastAsia="en-GB"/>
        </w:rPr>
        <w:t xml:space="preserve">The </w:t>
      </w:r>
      <w:r w:rsidR="00F1218C">
        <w:rPr>
          <w:rFonts w:eastAsia="Times New Roman" w:cs="Arial"/>
          <w:color w:val="000000"/>
          <w:szCs w:val="24"/>
          <w:lang w:eastAsia="en-GB"/>
        </w:rPr>
        <w:t xml:space="preserve">resolution </w:t>
      </w:r>
      <w:r>
        <w:rPr>
          <w:rFonts w:eastAsia="Times New Roman" w:cs="Arial"/>
          <w:color w:val="000000"/>
          <w:szCs w:val="24"/>
          <w:lang w:eastAsia="en-GB"/>
        </w:rPr>
        <w:t>does not change the format or content of any messages sent between Devices and Systems.</w:t>
      </w:r>
    </w:p>
    <w:p w14:paraId="61DC520F" w14:textId="1C913464" w:rsidR="00AB634D" w:rsidRDefault="00AB634D">
      <w:r>
        <w:lastRenderedPageBreak/>
        <w:t>Therefore, this change has no impact on interoperability, and does not require changes to Device functionality.</w:t>
      </w:r>
    </w:p>
    <w:p w14:paraId="09939408" w14:textId="77777777" w:rsidR="00AB634D" w:rsidRDefault="00AB634D">
      <w:pPr>
        <w:rPr>
          <w:rFonts w:eastAsia="Times New Roman" w:cs="Arial"/>
          <w:color w:val="000000"/>
          <w:szCs w:val="24"/>
          <w:lang w:eastAsia="en-GB"/>
        </w:rPr>
      </w:pPr>
    </w:p>
    <w:p w14:paraId="4055622C" w14:textId="77777777" w:rsidR="00F64FFA" w:rsidRDefault="0038696F">
      <w:pPr>
        <w:rPr>
          <w:b/>
          <w:sz w:val="24"/>
          <w:szCs w:val="24"/>
        </w:rPr>
      </w:pPr>
      <w:r>
        <w:rPr>
          <w:b/>
          <w:sz w:val="24"/>
          <w:szCs w:val="24"/>
        </w:rPr>
        <w:t>Required Changes to Documentation:</w:t>
      </w:r>
    </w:p>
    <w:p w14:paraId="7B2D7470" w14:textId="40896E05" w:rsidR="00F64FFA" w:rsidRDefault="00F1218C">
      <w:r>
        <w:t xml:space="preserve">At GBCS 7.2.11.4, </w:t>
      </w:r>
      <w:r w:rsidR="00423C4C">
        <w:t xml:space="preserve">Insert the paragraph </w:t>
      </w:r>
      <w:r>
        <w:t>as shown in the following mark-up</w:t>
      </w:r>
      <w:r w:rsidR="00423C4C">
        <w:t>:</w:t>
      </w:r>
    </w:p>
    <w:p w14:paraId="734E8324" w14:textId="5FC23991" w:rsidR="00F1218C" w:rsidRDefault="00F1218C">
      <w:pPr>
        <w:rPr>
          <w:sz w:val="16"/>
          <w:szCs w:val="16"/>
        </w:rPr>
      </w:pPr>
      <w:r>
        <w:rPr>
          <w:sz w:val="16"/>
          <w:szCs w:val="16"/>
        </w:rPr>
        <w:t>&lt;…run on from existing text&gt;</w:t>
      </w:r>
    </w:p>
    <w:p w14:paraId="39274D56" w14:textId="78FA5E48" w:rsidR="00FA2141" w:rsidRPr="00F1218C" w:rsidRDefault="00FA2141">
      <w:pPr>
        <w:rPr>
          <w:sz w:val="16"/>
          <w:szCs w:val="16"/>
        </w:rPr>
      </w:pPr>
      <w:r>
        <w:rPr>
          <w:noProof/>
        </w:rPr>
        <w:drawing>
          <wp:inline distT="0" distB="0" distL="0" distR="0" wp14:anchorId="37FFF42E" wp14:editId="636FAF53">
            <wp:extent cx="5760720" cy="41636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4163695"/>
                    </a:xfrm>
                    <a:prstGeom prst="rect">
                      <a:avLst/>
                    </a:prstGeom>
                  </pic:spPr>
                </pic:pic>
              </a:graphicData>
            </a:graphic>
          </wp:inline>
        </w:drawing>
      </w:r>
    </w:p>
    <w:p w14:paraId="10AF47DB" w14:textId="77777777" w:rsidR="00F1218C" w:rsidRPr="00F1218C" w:rsidRDefault="00F1218C" w:rsidP="00F1218C">
      <w:pPr>
        <w:rPr>
          <w:sz w:val="16"/>
          <w:szCs w:val="16"/>
        </w:rPr>
      </w:pPr>
      <w:r>
        <w:rPr>
          <w:sz w:val="16"/>
          <w:szCs w:val="16"/>
        </w:rPr>
        <w:t>&lt;…run on from existing text&gt;</w:t>
      </w:r>
    </w:p>
    <w:p w14:paraId="20A8A9ED" w14:textId="77777777" w:rsidR="00AB634D" w:rsidRPr="00D13946" w:rsidRDefault="00AB634D"/>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tc>
          <w:tcPr>
            <w:tcW w:w="3865" w:type="dxa"/>
            <w:shd w:val="clear" w:color="auto" w:fill="auto"/>
          </w:tcPr>
          <w:p w14:paraId="19D8E5ED" w14:textId="77777777" w:rsidR="00F64FFA" w:rsidRDefault="0038696F">
            <w:pPr>
              <w:pStyle w:val="NoSpacing"/>
            </w:pPr>
            <w:r>
              <w:rPr>
                <w:b/>
              </w:rPr>
              <w:t>TS version for incorporation</w:t>
            </w:r>
          </w:p>
        </w:tc>
        <w:tc>
          <w:tcPr>
            <w:tcW w:w="5196" w:type="dxa"/>
            <w:shd w:val="clear" w:color="auto" w:fill="auto"/>
          </w:tcPr>
          <w:p w14:paraId="30F964AE" w14:textId="77777777" w:rsidR="00F64FFA" w:rsidRDefault="0038696F">
            <w:pPr>
              <w:pStyle w:val="NoSpacing"/>
            </w:pPr>
            <w:r>
              <w:t>TBC</w:t>
            </w:r>
          </w:p>
        </w:tc>
      </w:tr>
      <w:tr w:rsidR="00F64FFA" w14:paraId="403A1486" w14:textId="77777777">
        <w:tc>
          <w:tcPr>
            <w:tcW w:w="3865" w:type="dxa"/>
            <w:shd w:val="clear" w:color="auto" w:fill="auto"/>
          </w:tcPr>
          <w:p w14:paraId="6A3BACFA" w14:textId="77777777" w:rsidR="00F64FFA" w:rsidRDefault="0038696F">
            <w:pPr>
              <w:pStyle w:val="NoSpacing"/>
              <w:rPr>
                <w:b/>
              </w:rPr>
            </w:pPr>
            <w:r>
              <w:rPr>
                <w:b/>
              </w:rPr>
              <w:t>Impact on previous IRPs</w:t>
            </w:r>
          </w:p>
        </w:tc>
        <w:tc>
          <w:tcPr>
            <w:tcW w:w="5196" w:type="dxa"/>
            <w:shd w:val="clear" w:color="auto" w:fill="auto"/>
          </w:tcPr>
          <w:p w14:paraId="0E67D3EE" w14:textId="77777777" w:rsidR="00F64FFA" w:rsidRDefault="0038696F">
            <w:pPr>
              <w:pStyle w:val="NoSpacing"/>
            </w:pPr>
            <w:r>
              <w:t>None</w:t>
            </w:r>
          </w:p>
        </w:tc>
      </w:tr>
      <w:tr w:rsidR="00F64FFA" w14:paraId="6AFBFE76" w14:textId="77777777">
        <w:tc>
          <w:tcPr>
            <w:tcW w:w="3865" w:type="dxa"/>
            <w:shd w:val="clear" w:color="auto" w:fill="auto"/>
          </w:tcPr>
          <w:p w14:paraId="0F3221F6" w14:textId="77777777" w:rsidR="00F64FFA" w:rsidRDefault="0038696F">
            <w:pPr>
              <w:pStyle w:val="NoSpacing"/>
              <w:rPr>
                <w:b/>
              </w:rPr>
            </w:pPr>
            <w:r>
              <w:rPr>
                <w:b/>
              </w:rPr>
              <w:t>Attachment(s)</w:t>
            </w:r>
          </w:p>
        </w:tc>
        <w:tc>
          <w:tcPr>
            <w:tcW w:w="5196" w:type="dxa"/>
            <w:shd w:val="clear" w:color="auto" w:fill="auto"/>
          </w:tcPr>
          <w:p w14:paraId="114DA693" w14:textId="3218E55E" w:rsidR="00F64FFA" w:rsidRDefault="00AB634D">
            <w:pPr>
              <w:pStyle w:val="NoSpacing"/>
            </w:pPr>
            <w:r>
              <w:t>None</w:t>
            </w:r>
          </w:p>
        </w:tc>
      </w:tr>
    </w:tbl>
    <w:p w14:paraId="605DE363" w14:textId="77777777" w:rsidR="00F64FFA" w:rsidRDefault="00F64FFA">
      <w:pPr>
        <w:spacing w:before="0" w:after="200" w:line="276" w:lineRule="auto"/>
      </w:pPr>
    </w:p>
    <w:sectPr w:rsidR="00F64FFA">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84075" w14:textId="77777777" w:rsidR="00A705DD" w:rsidRDefault="00A705DD">
      <w:pPr>
        <w:spacing w:before="0" w:after="0"/>
      </w:pPr>
      <w:r>
        <w:separator/>
      </w:r>
    </w:p>
  </w:endnote>
  <w:endnote w:type="continuationSeparator" w:id="0">
    <w:p w14:paraId="38644155" w14:textId="77777777" w:rsidR="00A705DD" w:rsidRDefault="00A705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9AA01" w14:textId="77777777" w:rsidR="00A705DD" w:rsidRDefault="00A705DD">
      <w:pPr>
        <w:spacing w:before="0" w:after="0"/>
      </w:pPr>
      <w:r>
        <w:separator/>
      </w:r>
    </w:p>
  </w:footnote>
  <w:footnote w:type="continuationSeparator" w:id="0">
    <w:p w14:paraId="60A3834F" w14:textId="77777777" w:rsidR="00A705DD" w:rsidRDefault="00A705DD">
      <w:pPr>
        <w:spacing w:before="0" w:after="0"/>
      </w:pPr>
      <w:r>
        <w:continuationSeparator/>
      </w:r>
    </w:p>
  </w:footnote>
  <w:footnote w:id="1">
    <w:p w14:paraId="65C45D5A" w14:textId="7B3939F8" w:rsidR="00423C4C" w:rsidRDefault="00423C4C" w:rsidP="00423C4C">
      <w:r>
        <w:rPr>
          <w:rStyle w:val="FootnoteReference"/>
        </w:rPr>
        <w:footnoteRef/>
      </w:r>
      <w:r>
        <w:t xml:space="preserve"> </w:t>
      </w:r>
      <w:r w:rsidRPr="00F1218C">
        <w:rPr>
          <w:sz w:val="18"/>
          <w:szCs w:val="18"/>
        </w:rPr>
        <w:t>Similarly the ESME timeout of 30 minutes does not apply</w:t>
      </w:r>
      <w:r w:rsidR="00043C4D" w:rsidRPr="00F1218C">
        <w:rPr>
          <w:sz w:val="18"/>
          <w:szCs w:val="18"/>
        </w:rPr>
        <w:t xml:space="preserve"> in this scenario</w:t>
      </w:r>
      <w:r w:rsidRPr="00F1218C">
        <w:rPr>
          <w:sz w:val="18"/>
          <w:szCs w:val="18"/>
        </w:rPr>
        <w:t>: ‘</w:t>
      </w:r>
      <w:r w:rsidRPr="00F1218C">
        <w:rPr>
          <w:i/>
          <w:iCs/>
          <w:sz w:val="18"/>
          <w:szCs w:val="18"/>
        </w:rPr>
        <w:t>Where the GBT Recipient is an ESME, the ESME shall not send a GBT Message (Request Block Resend), in relation to a GBT Message Series, until and unless 30 seconds have elapsed since receipt of the most recent GBT Message in that GBT Message Series. If 30 minutes elapse without the ESME receiving corresponding GBT Message(s) in response, the ESME may discard the GBT Messages it has received in this GBT Message Series</w:t>
      </w:r>
      <w:r w:rsidRPr="00F1218C">
        <w:rPr>
          <w:sz w:val="18"/>
          <w:szCs w:val="18"/>
        </w:rPr>
        <w:t>.</w:t>
      </w:r>
    </w:p>
    <w:p w14:paraId="38DA133E" w14:textId="393E2E12" w:rsidR="00423C4C" w:rsidRDefault="00423C4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07B471B"/>
    <w:multiLevelType w:val="hybridMultilevel"/>
    <w:tmpl w:val="770A2B8A"/>
    <w:lvl w:ilvl="0" w:tplc="D3F4BC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4A478F"/>
    <w:multiLevelType w:val="hybridMultilevel"/>
    <w:tmpl w:val="E1226C56"/>
    <w:lvl w:ilvl="0" w:tplc="D3F4BC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7F0C2E"/>
    <w:multiLevelType w:val="hybridMultilevel"/>
    <w:tmpl w:val="CC94C6F8"/>
    <w:lvl w:ilvl="0" w:tplc="D3F4BC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5C7C"/>
    <w:rsid w:val="00043C4D"/>
    <w:rsid w:val="000A7DE8"/>
    <w:rsid w:val="00226297"/>
    <w:rsid w:val="002C046B"/>
    <w:rsid w:val="0038696F"/>
    <w:rsid w:val="003E502D"/>
    <w:rsid w:val="00423C4C"/>
    <w:rsid w:val="004C4021"/>
    <w:rsid w:val="00562558"/>
    <w:rsid w:val="00673DF3"/>
    <w:rsid w:val="006B0828"/>
    <w:rsid w:val="00762008"/>
    <w:rsid w:val="00785271"/>
    <w:rsid w:val="00801EA1"/>
    <w:rsid w:val="00847BE8"/>
    <w:rsid w:val="008615AD"/>
    <w:rsid w:val="008966BF"/>
    <w:rsid w:val="009461EC"/>
    <w:rsid w:val="009A4200"/>
    <w:rsid w:val="009D0B45"/>
    <w:rsid w:val="009E2B35"/>
    <w:rsid w:val="00A705DD"/>
    <w:rsid w:val="00AB634D"/>
    <w:rsid w:val="00B82D8D"/>
    <w:rsid w:val="00BD6697"/>
    <w:rsid w:val="00D05A50"/>
    <w:rsid w:val="00D13946"/>
    <w:rsid w:val="00DD00A6"/>
    <w:rsid w:val="00DD644D"/>
    <w:rsid w:val="00F07B92"/>
    <w:rsid w:val="00F1218C"/>
    <w:rsid w:val="00F64FFA"/>
    <w:rsid w:val="00FA2141"/>
    <w:rsid w:val="00FA69BB"/>
    <w:rsid w:val="00FC59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423C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2020-03-26T16:46:44+00:00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2QFN7KK647Q6-1153347766-92267</_dlc_DocId>
    <_dlc_DocIdUrl xmlns="12cff280-46d3-4d75-8ec5-390382d392fa">
      <Url>https://beisgov.sharepoint.com/sites/SMIP-EXT-423/_layouts/15/DocIdRedir.aspx?ID=2QFN7KK647Q6-1153347766-92267</Url>
      <Description>2QFN7KK647Q6-1153347766-92267</Description>
    </_dlc_DocIdUrl>
    <LegacyData xmlns="12cff280-46d3-4d75-8ec5-390382d392fa">{
  "Name": "IRP619 GBT blocks from old Messages v0_1.docx",
  "Title": "",
  "External": "",
  "Document Notes": "",
  "Security Classification": "OFFICIAL",
  "Handling Instructions": "",
  "Descriptor": "",
  "Government Body": "BEIS",
  "Business Unit": "BEIS:Energy, Transformation and Clean Growth:Smart Metering Implementation Programme",
  "Retention Label": "HMG PPP Review",
  "Date Opened": "2020-03-26T16:46:44.0000000Z",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"2020-03-26T16:46:44.0000000Z",
  "Document Modified By": "i:0#.f|membership|methilan.vivekanandarajah@beis.gov.uk",
  "Document Created By": "i:0#.f|membership|methilan.vivekanandarajah@beis.gov.uk",
  "Document ID Value": "2QFN7KK647Q6-1153347766-92267",
  "Modified": "2020-03-26T16:46:44.0000000Z",
  "Original Location": "/sites/beis/423/Shared Documents/# SMIP Governance/Tech Spec Feedback/Resolution Proposals (IRPs &amp; CRPs)/IRP619 GBT blocks from old Messages v0_1.docx"
}</LegacyData>
    <Document_x0020_Notes xmlns="12cff280-46d3-4d75-8ec5-390382d392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657909-46D9-450F-851F-BB5AF4F17427}">
  <ds:schemaRefs>
    <ds:schemaRef ds:uri="http://schemas.microsoft.com/sharepoint/events"/>
  </ds:schemaRefs>
</ds:datastoreItem>
</file>

<file path=customXml/itemProps2.xml><?xml version="1.0" encoding="utf-8"?>
<ds:datastoreItem xmlns:ds="http://schemas.openxmlformats.org/officeDocument/2006/customXml" ds:itemID="{52526C78-90FC-4D91-A55D-78D8F34B2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03315-F54E-470D-8BCD-0D9B1C2BDA4C}">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4.xml><?xml version="1.0" encoding="utf-8"?>
<ds:datastoreItem xmlns:ds="http://schemas.openxmlformats.org/officeDocument/2006/customXml" ds:itemID="{6F8B056F-FBF1-4945-85DA-291A8FC22E81}">
  <ds:schemaRefs>
    <ds:schemaRef ds:uri="http://schemas.openxmlformats.org/officeDocument/2006/bibliography"/>
  </ds:schemaRefs>
</ds:datastoreItem>
</file>

<file path=customXml/itemProps5.xml><?xml version="1.0" encoding="utf-8"?>
<ds:datastoreItem xmlns:ds="http://schemas.openxmlformats.org/officeDocument/2006/customXml" ds:itemID="{75256CFE-B311-45D0-BBD8-031BFA13CF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2021-01-14T16:48:00Z</dcterms:created>
  <dcterms:modified xsi:type="dcterms:W3CDTF">2021-01-14T16:48:00Z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1;#Smart Metering Implementation Programme|bb7732ef-da62-4d24-b6f9-71b10bcc1ea2</vt:lpwstr>
  </property>
  <property fmtid="{D5CDD505-2E9C-101B-9397-08002B2CF9AE}" pid="19" name="_dlc_DocIdItemGuid">
    <vt:lpwstr>4ff17692-2f34-498e-a9d6-88e0fe7ac932</vt:lpwstr>
  </property>
  <property fmtid="{D5CDD505-2E9C-101B-9397-08002B2CF9AE}" pid="20" name="MailSubject">
    <vt:lpwstr/>
  </property>
  <property fmtid="{D5CDD505-2E9C-101B-9397-08002B2CF9AE}" pid="21" name="Order">
    <vt:r8>9226700</vt:r8>
  </property>
  <property fmtid="{D5CDD505-2E9C-101B-9397-08002B2CF9AE}" pid="22" name="LegacyPaperReason">
    <vt:lpwstr/>
  </property>
  <property fmtid="{D5CDD505-2E9C-101B-9397-08002B2CF9AE}" pid="23" name="MailPreviewData">
    <vt:lpwstr/>
  </property>
  <property fmtid="{D5CDD505-2E9C-101B-9397-08002B2CF9AE}" pid="24" name="MailAttachments">
    <vt:bool>false</vt:bool>
  </property>
  <property fmtid="{D5CDD505-2E9C-101B-9397-08002B2CF9AE}" pid="25" name="LegacyMovementHistory">
    <vt:lpwstr/>
  </property>
  <property fmtid="{D5CDD505-2E9C-101B-9397-08002B2CF9AE}" pid="26" name="MailIn-Reply-To">
    <vt:lpwstr/>
  </property>
  <property fmtid="{D5CDD505-2E9C-101B-9397-08002B2CF9AE}" pid="27" name="Held By">
    <vt:lpwstr/>
  </property>
  <property fmtid="{D5CDD505-2E9C-101B-9397-08002B2CF9AE}" pid="28" name="MailTo">
    <vt:lpwstr/>
  </property>
  <property fmtid="{D5CDD505-2E9C-101B-9397-08002B2CF9AE}" pid="29" name="LegacyHistoricalBarcode">
    <vt:lpwstr/>
  </property>
  <property fmtid="{D5CDD505-2E9C-101B-9397-08002B2CF9AE}" pid="30" name="LegacySubject">
    <vt:lpwstr/>
  </property>
  <property fmtid="{D5CDD505-2E9C-101B-9397-08002B2CF9AE}" pid="31" name="MailFrom">
    <vt:lpwstr/>
  </property>
  <property fmtid="{D5CDD505-2E9C-101B-9397-08002B2CF9AE}" pid="32" name="MailOriginalSubject">
    <vt:lpwstr/>
  </property>
  <property fmtid="{D5CDD505-2E9C-101B-9397-08002B2CF9AE}" pid="33" name="LegacyAddresses">
    <vt:lpwstr/>
  </property>
  <property fmtid="{D5CDD505-2E9C-101B-9397-08002B2CF9AE}" pid="34" name="LegacyBarcode">
    <vt:lpwstr/>
  </property>
  <property fmtid="{D5CDD505-2E9C-101B-9397-08002B2CF9AE}" pid="35" name="MailReply-To">
    <vt:lpwstr/>
  </property>
  <property fmtid="{D5CDD505-2E9C-101B-9397-08002B2CF9AE}" pid="36" name="LegacyCaseReferenceNumber0">
    <vt:lpwstr/>
  </property>
  <property fmtid="{D5CDD505-2E9C-101B-9397-08002B2CF9AE}" pid="37" name="LegacyForeignBarcode">
    <vt:lpwstr/>
  </property>
  <property fmtid="{D5CDD505-2E9C-101B-9397-08002B2CF9AE}" pid="38" name="LegacyDisposition">
    <vt:lpwstr/>
  </property>
  <property fmtid="{D5CDD505-2E9C-101B-9397-08002B2CF9AE}" pid="39" name="LegacyOriginator">
    <vt:lpwstr/>
  </property>
  <property fmtid="{D5CDD505-2E9C-101B-9397-08002B2CF9AE}" pid="40" name="MailCc">
    <vt:lpwstr/>
  </property>
  <property fmtid="{D5CDD505-2E9C-101B-9397-08002B2CF9AE}" pid="41" name="LegacyPhysicalObject">
    <vt:bool>false</vt:bool>
  </property>
  <property fmtid="{D5CDD505-2E9C-101B-9397-08002B2CF9AE}" pid="42" name="LegacyAddressee">
    <vt:lpwstr/>
  </property>
  <property fmtid="{D5CDD505-2E9C-101B-9397-08002B2CF9AE}" pid="43" name="CIRRUSPreviousRetentionPolicy0">
    <vt:lpwstr/>
  </property>
  <property fmtid="{D5CDD505-2E9C-101B-9397-08002B2CF9AE}" pid="44" name="MailReferences">
    <vt:lpwstr/>
  </property>
  <property fmtid="{D5CDD505-2E9C-101B-9397-08002B2CF9AE}" pid="45" name="Barcode">
    <vt:lpwstr/>
  </property>
</Properties>
</file>